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附件5：</w:t>
      </w:r>
    </w:p>
    <w:p>
      <w:pPr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中国药师协会治疗药物监测药师分会</w:t>
      </w:r>
    </w:p>
    <w:p>
      <w:pPr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成员名单</w:t>
      </w:r>
    </w:p>
    <w:bookmarkEnd w:id="0"/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</w:p>
    <w:tbl>
      <w:tblPr>
        <w:tblStyle w:val="4"/>
        <w:tblW w:w="8091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92"/>
        <w:gridCol w:w="43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候选职务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主任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张相林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中日友好医院药学部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武新安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</w:rPr>
              <w:t>兰州大学第一医院药剂科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陈万生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第二军医大学附属长征医院药学部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张  峻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昆明医科大学第一附属医院临床药学科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王  卓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上海长海医院药学部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蔡本志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哈尔滨医科大学附属第二医院药学部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赵  维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山东大学药学院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丁玉峰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华中科技大学同济医学院附属同济医院药学部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史天陆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中国科学技术大学附属第一医院（安徽省立医院）药剂科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朱怀军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南京鼓楼医院药学部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刘茂柏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福建医科大学附属协和医院药学部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刘松青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重庆医科大学附属第三医院药剂科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李朋梅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中日友好医院药学部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张  弋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天津市第一中心医院药学部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张四喜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吉林大学第一医院药学部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张志清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河北医科大学第二医院药学部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陆丛笑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烟台毓璜顶医院药学部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</w:tbl>
    <w:p/>
    <w:tbl>
      <w:tblPr>
        <w:tblStyle w:val="4"/>
        <w:tblW w:w="8091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92"/>
        <w:gridCol w:w="43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陈  琦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贵州省人民医院药剂科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林观样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温州医科大学附属第一医院药学部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封卫毅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西安交通大学第一附属医院药学部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赵立波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首都医科大学附属北京儿童医院临床研究中心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赵  军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新疆医科大学第一附属医院药学部临床药学科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夏  泉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安徽医科大学第一附属医院药剂科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徐  萍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中南大学湘雅二医院药学部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席雅琳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大连市中心医院药学部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唐  坤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桂林医学院附属医院药学部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黄晨蓉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苏州大学附属第一医院药学部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温预关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广州医科大学附属脑科医院（广州市惠爱医院）药学部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</w:tbl>
    <w:p>
      <w:pPr>
        <w:spacing w:line="360" w:lineRule="auto"/>
        <w:ind w:left="4950" w:hanging="4950" w:hangingChars="1650"/>
        <w:rPr>
          <w:rFonts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Times New Roman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236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1188"/>
    <w:rsid w:val="2FD41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2019-03-07T07:07:00Z</dcterms:created>
  <dc:creator>Administrator</dc:creator>
  <cp:lastModifiedBy>Administrator</cp:lastModifiedBy>
  <dcterms:modified xsi:type="dcterms:W3CDTF">2019-03-07T07:08:06Z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