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950" w:hanging="4950" w:hangingChars="16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中国药师协会临床试验用药品</w:t>
      </w:r>
      <w:r>
        <w:rPr>
          <w:rFonts w:ascii="宋体" w:hAnsi="宋体" w:cs="宋体"/>
          <w:b/>
          <w:kern w:val="0"/>
          <w:sz w:val="36"/>
          <w:szCs w:val="36"/>
        </w:rPr>
        <w:t>管理</w:t>
      </w:r>
      <w:r>
        <w:rPr>
          <w:rFonts w:hint="eastAsia" w:ascii="宋体" w:hAnsi="宋体" w:cs="宋体"/>
          <w:b/>
          <w:kern w:val="0"/>
          <w:sz w:val="36"/>
          <w:szCs w:val="36"/>
        </w:rPr>
        <w:t>工作</w:t>
      </w:r>
      <w:r>
        <w:rPr>
          <w:rFonts w:ascii="宋体" w:hAnsi="宋体" w:cs="宋体"/>
          <w:b/>
          <w:kern w:val="0"/>
          <w:sz w:val="36"/>
          <w:szCs w:val="36"/>
        </w:rPr>
        <w:t>委员会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成员名单</w:t>
      </w:r>
    </w:p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</w:p>
    <w:tbl>
      <w:tblPr>
        <w:tblStyle w:val="2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"/>
        <w:gridCol w:w="1143"/>
        <w:gridCol w:w="43"/>
        <w:gridCol w:w="950"/>
        <w:gridCol w:w="42"/>
        <w:gridCol w:w="4111"/>
        <w:gridCol w:w="99"/>
        <w:gridCol w:w="1744"/>
        <w:gridCol w:w="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委员会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w w:val="95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林  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首都医科大学附属北京市安贞医院药学部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w w:val="95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冯  欣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5"/>
                <w:sz w:val="24"/>
                <w:szCs w:val="24"/>
              </w:rPr>
              <w:t>首都医科大学附属北京妇产医院药学部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w w:val="9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赵志刚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w w:val="95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5"/>
                <w:sz w:val="24"/>
                <w:szCs w:val="24"/>
              </w:rPr>
              <w:t>首都医科大学附属北京天坛医院药学部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曹晓春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杭州泰格医药科技股份有限公司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</w:t>
            </w:r>
            <w:r>
              <w:rPr>
                <w:rFonts w:hint="eastAsia" w:ascii="仿宋_GB2312" w:hAnsi="仿宋" w:eastAsia="仿宋_GB2312" w:cs="宋体"/>
                <w:spacing w:val="-12"/>
                <w:kern w:val="0"/>
                <w:sz w:val="24"/>
                <w:szCs w:val="24"/>
              </w:rPr>
              <w:t>（按姓氏笔画顺序排序）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丁玉峰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华中科技大学同济医学院附属同济医院药学部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马忠英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空军军医大学西京医院药物临床试验机构办公室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王兴河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首都医科大学附属北京世纪坛医院药物Ⅰ期临床试验研究室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王  忠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山西医科大学第二医院药学部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方平飞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中南大学湘雅二医院药学部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白万军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河北省人民医院药学部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兰宝石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5"/>
                <w:sz w:val="24"/>
                <w:szCs w:val="24"/>
              </w:rPr>
              <w:t>农工党中央生物技术与药学工作委员会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第一副主任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吕迁州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复旦大学附属中山医院药学部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刘清平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包头市中心医院药物临床试验机构办公室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劳海燕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广东省人民医院药学部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703" w:hRule="atLeast"/>
          <w:jc w:val="center"/>
        </w:trPr>
        <w:tc>
          <w:tcPr>
            <w:tcW w:w="12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李  宁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中国医学科学院肿瘤医院临床药物试验研究中心办公室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杨  丽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北京大学第三医院药剂科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杨佳丹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重庆医科大学附属第一医院药学部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杨建华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新疆医科大学第一附属医院药学部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沈承武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山东省立医院药学部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宋燕青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吉林大学第一医院药学部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张  波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中国医学科学院北京协和医院药剂科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张  峻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w w:val="98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w w:val="98"/>
                <w:sz w:val="24"/>
                <w:szCs w:val="24"/>
              </w:rPr>
              <w:t>昆明医科大学第一附属医院临床药学科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陈  楠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郑州人民医院药学部兼发展规划部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林翠鸿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福建医科大学附属第一医院药学部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赵立波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首都医科大学附属北京儿童医院临床研究中心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段  华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首都医科大学附属北京妇产医院妇科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阎  昭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天津市肿瘤医院药学部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翟  青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复旦大学附属肿瘤医院药剂科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9" w:type="dxa"/>
          <w:trHeight w:val="703" w:hRule="atLeast"/>
          <w:jc w:val="center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霍  花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沈阳军区总医院卫勤部药物临床试验研究管理办公室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主任药师</w:t>
            </w:r>
          </w:p>
        </w:tc>
      </w:tr>
    </w:tbl>
    <w:p>
      <w:pPr>
        <w:spacing w:line="360" w:lineRule="auto"/>
        <w:ind w:left="4950" w:hanging="4950" w:hangingChars="1650"/>
        <w:rPr>
          <w:rFonts w:ascii="仿宋_GB2312" w:hAnsi="仿宋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24DB9"/>
    <w:rsid w:val="3CE24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2019-11-01T01:14:00Z</dcterms:created>
  <dc:creator>Administrator</dc:creator>
  <cp:lastModifiedBy>Administrator</cp:lastModifiedBy>
  <dcterms:modified xsi:type="dcterms:W3CDTF">2019-11-01T01:14:34Z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